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D3" w:rsidRDefault="00251FD3"/>
    <w:p w:rsidR="00251FD3" w:rsidRDefault="00251FD3"/>
    <w:p w:rsidR="00251FD3" w:rsidRDefault="00251FD3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371"/>
        <w:gridCol w:w="2433"/>
      </w:tblGrid>
      <w:tr w:rsidR="00251FD3" w:rsidRPr="00B904B6" w:rsidTr="00251FD3"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</w:tcPr>
          <w:p w:rsidR="00251FD3" w:rsidRPr="00B904B6" w:rsidRDefault="00251FD3">
            <w:pPr>
              <w:spacing w:before="0" w:line="240" w:lineRule="auto"/>
              <w:jc w:val="center"/>
              <w:rPr>
                <w:rFonts w:ascii="Garamond" w:eastAsiaTheme="minorEastAsia" w:hAnsi="Garamond" w:cs="Garamond"/>
                <w:sz w:val="28"/>
                <w:szCs w:val="28"/>
              </w:rPr>
            </w:pPr>
          </w:p>
        </w:tc>
      </w:tr>
      <w:tr w:rsidR="008853D7" w:rsidRPr="00B904B6" w:rsidTr="00251FD3">
        <w:tc>
          <w:tcPr>
            <w:tcW w:w="10632" w:type="dxa"/>
            <w:gridSpan w:val="3"/>
            <w:shd w:val="clear" w:color="auto" w:fill="D9D9D9"/>
          </w:tcPr>
          <w:p w:rsidR="008853D7" w:rsidRPr="00B904B6" w:rsidRDefault="008853D7">
            <w:pPr>
              <w:spacing w:before="0" w:line="240" w:lineRule="auto"/>
              <w:jc w:val="center"/>
              <w:rPr>
                <w:rFonts w:ascii="Garamond" w:eastAsiaTheme="minorEastAsia" w:hAnsi="Garamond" w:cs="Garamond"/>
                <w:sz w:val="28"/>
                <w:szCs w:val="28"/>
              </w:rPr>
            </w:pPr>
            <w:r w:rsidRPr="00B904B6">
              <w:rPr>
                <w:rFonts w:ascii="Garamond" w:eastAsiaTheme="minorEastAsia" w:hAnsi="Garamond" w:cs="Garamond"/>
                <w:sz w:val="28"/>
                <w:szCs w:val="28"/>
              </w:rPr>
              <w:t xml:space="preserve">Modello </w:t>
            </w:r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8"/>
                <w:szCs w:val="28"/>
              </w:rPr>
              <w:t>SEMPLIFICATO</w:t>
            </w:r>
            <w:r w:rsidRPr="00B904B6">
              <w:rPr>
                <w:rFonts w:ascii="Garamond" w:eastAsiaTheme="minorEastAsia" w:hAnsi="Garamond" w:cs="Garamond"/>
                <w:sz w:val="28"/>
                <w:szCs w:val="28"/>
              </w:rPr>
              <w:t xml:space="preserve"> per l’edilizia</w:t>
            </w:r>
          </w:p>
        </w:tc>
      </w:tr>
      <w:tr w:rsidR="008853D7" w:rsidRPr="00B904B6">
        <w:trPr>
          <w:trHeight w:val="1708"/>
        </w:trPr>
        <w:tc>
          <w:tcPr>
            <w:tcW w:w="3828" w:type="dxa"/>
          </w:tcPr>
          <w:p w:rsidR="001E7A78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Al Comune di</w:t>
            </w:r>
          </w:p>
          <w:p w:rsidR="008853D7" w:rsidRPr="00B904B6" w:rsidRDefault="001A4659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8D79EB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t> </w:t>
            </w:r>
            <w:r w:rsidR="008D79EB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t> </w:t>
            </w:r>
            <w:r w:rsidR="008D79EB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t> </w:t>
            </w:r>
            <w:r w:rsidR="008D79EB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t> </w:t>
            </w:r>
            <w:r w:rsidR="008D79EB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</w:p>
          <w:p w:rsidR="001E7A78" w:rsidRPr="00B904B6" w:rsidRDefault="001E7A78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</w:p>
          <w:p w:rsidR="001E7A78" w:rsidRPr="00B904B6" w:rsidRDefault="001E7A78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Sportello Unico dell’Edilizia</w:t>
            </w:r>
          </w:p>
        </w:tc>
        <w:tc>
          <w:tcPr>
            <w:tcW w:w="4371" w:type="dxa"/>
          </w:tcPr>
          <w:p w:rsidR="008853D7" w:rsidRPr="00B904B6" w:rsidRDefault="001E7A78">
            <w:pPr>
              <w:spacing w:before="0" w:line="240" w:lineRule="auto"/>
              <w:jc w:val="center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protocol</w:t>
            </w:r>
            <w:r w:rsidR="008853D7" w:rsidRPr="00B904B6">
              <w:rPr>
                <w:rFonts w:ascii="Garamond" w:eastAsiaTheme="minorEastAsia" w:hAnsi="Garamond" w:cs="Garamond"/>
                <w:sz w:val="22"/>
                <w:szCs w:val="22"/>
              </w:rPr>
              <w:t>lo comunale</w:t>
            </w:r>
          </w:p>
        </w:tc>
        <w:tc>
          <w:tcPr>
            <w:tcW w:w="2433" w:type="dxa"/>
          </w:tcPr>
          <w:p w:rsidR="008853D7" w:rsidRPr="00B904B6" w:rsidRDefault="008853D7">
            <w:pPr>
              <w:spacing w:before="0" w:line="240" w:lineRule="auto"/>
              <w:jc w:val="center"/>
              <w:rPr>
                <w:rFonts w:ascii="Garamond" w:eastAsiaTheme="minorEastAsia" w:hAnsi="Garamond" w:cs="Garamond"/>
                <w:sz w:val="20"/>
                <w:szCs w:val="20"/>
              </w:rPr>
            </w:pPr>
          </w:p>
          <w:p w:rsidR="008853D7" w:rsidRPr="00B904B6" w:rsidRDefault="008853D7">
            <w:pPr>
              <w:spacing w:before="0" w:line="240" w:lineRule="auto"/>
              <w:jc w:val="center"/>
              <w:rPr>
                <w:rFonts w:ascii="Garamond" w:eastAsiaTheme="minorEastAsia" w:hAnsi="Garamond" w:cs="Garamond"/>
                <w:sz w:val="20"/>
                <w:szCs w:val="20"/>
              </w:rPr>
            </w:pP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marca da</w:t>
            </w:r>
          </w:p>
          <w:p w:rsidR="008853D7" w:rsidRPr="00B904B6" w:rsidRDefault="008853D7">
            <w:pPr>
              <w:spacing w:before="0" w:line="240" w:lineRule="auto"/>
              <w:ind w:left="34" w:hanging="34"/>
              <w:jc w:val="center"/>
              <w:rPr>
                <w:rFonts w:ascii="Garamond" w:eastAsiaTheme="minorEastAsia" w:hAnsi="Garamond" w:cs="Garamond"/>
                <w:sz w:val="20"/>
                <w:szCs w:val="20"/>
              </w:rPr>
            </w:pP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bollo</w:t>
            </w:r>
          </w:p>
          <w:p w:rsidR="008853D7" w:rsidRPr="00B904B6" w:rsidRDefault="008853D7">
            <w:pPr>
              <w:spacing w:before="0" w:line="240" w:lineRule="auto"/>
              <w:ind w:left="34" w:hanging="34"/>
              <w:jc w:val="center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€ </w:t>
            </w:r>
            <w:r w:rsidR="00FA36AB" w:rsidRPr="00B904B6">
              <w:rPr>
                <w:rFonts w:ascii="Garamond" w:eastAsiaTheme="minorEastAsia" w:hAnsi="Garamond" w:cs="Garamond"/>
                <w:sz w:val="20"/>
                <w:szCs w:val="20"/>
              </w:rPr>
              <w:t>16,00</w:t>
            </w:r>
          </w:p>
          <w:p w:rsidR="008853D7" w:rsidRPr="00B904B6" w:rsidRDefault="008853D7">
            <w:pPr>
              <w:spacing w:before="0" w:line="240" w:lineRule="auto"/>
              <w:ind w:left="34" w:hanging="34"/>
              <w:jc w:val="center"/>
              <w:rPr>
                <w:rFonts w:ascii="Garamond" w:eastAsiaTheme="minorEastAsia" w:hAnsi="Garamond" w:cs="Garamond"/>
                <w:b/>
                <w:bCs/>
                <w:i/>
                <w:iCs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2"/>
                <w:szCs w:val="22"/>
              </w:rPr>
              <w:t>(1)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rPr>
          <w:cantSplit/>
        </w:trPr>
        <w:tc>
          <w:tcPr>
            <w:tcW w:w="10632" w:type="dxa"/>
          </w:tcPr>
          <w:p w:rsidR="008853D7" w:rsidRPr="00B904B6" w:rsidRDefault="008853D7">
            <w:pPr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Quadro A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Dati del/i committente/i</w:t>
            </w:r>
            <w:r w:rsidR="00FA36AB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1E7A78" w:rsidRPr="00B904B6" w:rsidRDefault="001E7A78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nato/a a </w:t>
            </w:r>
            <w:bookmarkStart w:id="0" w:name="Testo3"/>
            <w:r w:rsidR="008853D7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8853D7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8853D7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8853D7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8853D7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8853D7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8853D7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8853D7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8853D7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8853D7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bookmarkEnd w:id="0"/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il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residente a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in via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C.F.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</w:p>
          <w:p w:rsidR="00FA36AB" w:rsidRPr="00B904B6" w:rsidRDefault="00FA36AB" w:rsidP="001E7A78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Tel. </w:t>
            </w:r>
            <w:bookmarkStart w:id="1" w:name="Testo20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"/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in rappresentanza della società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1E7A78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con sede a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in via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C.F.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in qualità di   </w:t>
            </w:r>
            <w:bookmarkStart w:id="2" w:name="Controllo1"/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end"/>
            </w:r>
            <w:bookmarkEnd w:id="2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proprietario/i   </w:t>
            </w:r>
            <w:bookmarkStart w:id="3" w:name="Controllo2"/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end"/>
            </w:r>
            <w:bookmarkEnd w:id="3"/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  <w:t xml:space="preserve"> (2)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bookmarkStart w:id="4" w:name="Controllo3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4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il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permesso di costruire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- 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art. 33 L.R. 12/2005</w:t>
            </w:r>
          </w:p>
          <w:bookmarkStart w:id="5" w:name="Controllo4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5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segnala  (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segnalazione certificata di inizio attività)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– art. 19 L. 241/1990 – art. 5 L. 106/2011</w:t>
            </w:r>
          </w:p>
          <w:bookmarkStart w:id="6" w:name="Controllo5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6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denuncia (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denuncia di inizio attività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)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– art. 42 L.R. 12/2005</w:t>
            </w:r>
          </w:p>
          <w:bookmarkStart w:id="7" w:name="Controllo6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fldChar w:fldCharType="end"/>
            </w:r>
            <w:bookmarkEnd w:id="7"/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comunica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-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art 6 c. 2 lettere a-b-c-d-e  D.P.R. 380/2001</w:t>
            </w:r>
          </w:p>
          <w:bookmarkStart w:id="8" w:name="Controllo7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8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il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permesso di costruire in sanatoria 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(accertamento di compatibilità) –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art. 36 D.P.R. 380/2001</w:t>
            </w:r>
          </w:p>
          <w:bookmarkStart w:id="9" w:name="Controllo8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fldChar w:fldCharType="end"/>
            </w:r>
            <w:bookmarkEnd w:id="9"/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comunica l’eseguita attività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 – art. 41 comma 2 L.R. 12/2005</w:t>
            </w:r>
          </w:p>
        </w:tc>
      </w:tr>
      <w:bookmarkStart w:id="10" w:name="Controllo9"/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0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l’approvazione del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piano attuativo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sym w:font="Symbol" w:char="F0F0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di lottizzazione  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sym w:font="Symbol" w:char="F0F0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di recupero di 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sym w:font="Symbol" w:char="F0F0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16"/>
                <w:szCs w:val="16"/>
              </w:rPr>
              <w:t xml:space="preserve"> _____________________________</w:t>
            </w:r>
          </w:p>
        </w:tc>
      </w:tr>
      <w:bookmarkStart w:id="11" w:name="Controllo10"/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1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l’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autorizzazione paesaggistica 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–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art. 146 D.L.vo 42/2004</w:t>
            </w:r>
          </w:p>
          <w:bookmarkStart w:id="12" w:name="Controllo11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2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l’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autorizzazione</w:t>
            </w:r>
            <w:r w:rsidR="00FA36AB"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</w:t>
            </w:r>
          </w:p>
          <w:bookmarkStart w:id="13" w:name="Controllo12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3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l’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accertamento di compatibilità paesaggistica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art. 167 c. 4 D.L.vo 42/2004</w:t>
            </w:r>
          </w:p>
        </w:tc>
      </w:tr>
      <w:bookmarkStart w:id="14" w:name="Controllo13"/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4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l’autorizzazione per il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vincolo idrogeologico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–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R.D. 3267/1923 e  art. 44 L.R. 31/2008</w:t>
            </w:r>
          </w:p>
        </w:tc>
      </w:tr>
      <w:bookmarkStart w:id="15" w:name="Controllo14"/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5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chiede il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certificato di agibilità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  <w:t>(3)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art. 24 D.P.R. 380/2001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</w:p>
          <w:bookmarkStart w:id="16" w:name="Controllo15"/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fldChar w:fldCharType="end"/>
            </w:r>
            <w:bookmarkEnd w:id="16"/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dichiara la conformità ai fini dell’agibilità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  <w:t>(3)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–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art. 5 L.R. 1/2007</w:t>
            </w:r>
          </w:p>
        </w:tc>
      </w:tr>
      <w:bookmarkStart w:id="17" w:name="Controllo16"/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16"/>
                <w:szCs w:val="16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end"/>
            </w:r>
            <w:bookmarkEnd w:id="17"/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chiede il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certificato di destinazione urbanistica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  <w:t>(4)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art. 30 D.P.R. 380/2001 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    per il foglio </w:t>
            </w:r>
            <w:bookmarkStart w:id="18" w:name="Testo18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8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mappali: </w:t>
            </w:r>
            <w:bookmarkStart w:id="19" w:name="Testo19"/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fldChar w:fldCharType="end"/>
            </w:r>
            <w:bookmarkEnd w:id="19"/>
          </w:p>
          <w:p w:rsidR="00FA36AB" w:rsidRPr="00B904B6" w:rsidRDefault="00FA36AB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    </w:t>
            </w:r>
            <w:r w:rsidRPr="00B904B6">
              <w:rPr>
                <w:rFonts w:ascii="Wingdings" w:eastAsiaTheme="minorEastAsia" w:hAnsi="Wingdings" w:cs="Garamond"/>
                <w:sz w:val="24"/>
                <w:szCs w:val="24"/>
              </w:rPr>
              <w:t></w:t>
            </w:r>
            <w:r w:rsidRPr="00B904B6">
              <w:rPr>
                <w:rFonts w:ascii="Wingdings" w:eastAsiaTheme="minorEastAsia" w:hAnsi="Wingdings" w:cs="Garamond"/>
                <w:sz w:val="24"/>
                <w:szCs w:val="24"/>
              </w:rPr>
              <w:t>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>per atto di ________________</w:t>
            </w:r>
          </w:p>
          <w:p w:rsidR="00FA36AB" w:rsidRPr="00B904B6" w:rsidRDefault="00FA36AB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    </w:t>
            </w:r>
            <w:r w:rsidRPr="00B904B6">
              <w:rPr>
                <w:rFonts w:ascii="Wingdings" w:eastAsiaTheme="minorEastAsia" w:hAnsi="Wingdings" w:cs="Garamond"/>
                <w:sz w:val="24"/>
                <w:szCs w:val="24"/>
              </w:rPr>
              <w:t></w:t>
            </w:r>
            <w:r w:rsidRPr="00B904B6">
              <w:rPr>
                <w:rFonts w:ascii="Wingdings" w:eastAsiaTheme="minorEastAsia" w:hAnsi="Wingdings" w:cs="Garamond"/>
                <w:sz w:val="24"/>
                <w:szCs w:val="24"/>
              </w:rPr>
              <w:t>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>per successione</w:t>
            </w:r>
          </w:p>
          <w:p w:rsidR="00FA36AB" w:rsidRPr="00B904B6" w:rsidRDefault="00FA36AB">
            <w:pPr>
              <w:spacing w:before="0" w:line="240" w:lineRule="auto"/>
              <w:rPr>
                <w:rFonts w:ascii="Garamond" w:eastAsiaTheme="minorEastAsia" w:hAnsi="Garamond" w:cs="Tahoma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Tahoma"/>
                <w:sz w:val="24"/>
                <w:szCs w:val="24"/>
              </w:rPr>
              <w:t xml:space="preserve">      </w:t>
            </w:r>
            <w:r w:rsidRPr="00B904B6">
              <w:rPr>
                <w:rFonts w:ascii="Wingdings" w:eastAsiaTheme="minorEastAsia" w:hAnsi="Wingdings" w:cs="Garamond"/>
                <w:sz w:val="24"/>
                <w:szCs w:val="24"/>
              </w:rPr>
              <w:t></w:t>
            </w:r>
            <w:r w:rsidRPr="00B904B6">
              <w:rPr>
                <w:rFonts w:ascii="Wingdings" w:eastAsiaTheme="minorEastAsia" w:hAnsi="Wingdings" w:cs="Garamond"/>
                <w:sz w:val="24"/>
                <w:szCs w:val="24"/>
              </w:rPr>
              <w:t>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>altro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i/>
                <w:iCs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Quadro B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Opere da realizzare </w:t>
            </w:r>
            <w:r w:rsidRPr="00B904B6">
              <w:rPr>
                <w:rFonts w:ascii="Garamond" w:eastAsiaTheme="minorEastAsia" w:hAnsi="Garamond" w:cs="Garamond"/>
                <w:i/>
                <w:iCs/>
                <w:sz w:val="24"/>
                <w:szCs w:val="24"/>
              </w:rPr>
              <w:t>(o realizzate, nel caso di domanda di agibilità, sanatoria o già eseguita attività)</w:t>
            </w:r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  <w:t xml:space="preserve"> (5)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 </w:t>
            </w:r>
          </w:p>
          <w:p w:rsidR="001E7A78" w:rsidRPr="00B904B6" w:rsidRDefault="001E7A78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sull’immobile in via/loc.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identificato catastalmente al foglio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mappale/i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con destinazione </w:t>
            </w:r>
            <w:r w:rsidRPr="00B904B6"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  <w:t>(6)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classificato: </w:t>
            </w:r>
          </w:p>
          <w:bookmarkStart w:id="20" w:name="Controllo17"/>
          <w:p w:rsidR="008853D7" w:rsidRPr="00B904B6" w:rsidRDefault="008853D7">
            <w:pPr>
              <w:widowControl/>
              <w:spacing w:before="0" w:line="240" w:lineRule="auto"/>
              <w:ind w:left="34"/>
              <w:jc w:val="left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end"/>
            </w:r>
            <w:bookmarkEnd w:id="20"/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in zona: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nello strumento urbanistico generale vigente.</w:t>
            </w:r>
          </w:p>
          <w:bookmarkStart w:id="21" w:name="Controllo18"/>
          <w:p w:rsidR="008853D7" w:rsidRPr="00B904B6" w:rsidRDefault="008853D7">
            <w:pPr>
              <w:widowControl/>
              <w:spacing w:before="0" w:line="240" w:lineRule="auto"/>
              <w:ind w:left="34"/>
              <w:jc w:val="left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end"/>
            </w:r>
            <w:bookmarkEnd w:id="21"/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in zona: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nello strumento urbanistico generale in salvaguardia.</w:t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i/>
                <w:iCs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Quadro C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Dati e dichiarazione del progettista</w:t>
            </w:r>
          </w:p>
          <w:p w:rsidR="008853D7" w:rsidRPr="00B904B6" w:rsidRDefault="001E7A78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</w:t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con sede in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via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n.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tel.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fax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mail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iscritto al n.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dell'ordine/collegio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della provincia di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>.</w:t>
            </w:r>
          </w:p>
          <w:p w:rsidR="008853D7" w:rsidRPr="00B904B6" w:rsidRDefault="008853D7">
            <w:pPr>
              <w:autoSpaceDE/>
              <w:spacing w:before="0" w:after="10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Il sottoscritto progettista e redattore degli elaborati tecnici allegati assume la piena e completa responsabilità in merito alla veridicità ed esattezza degli elementi risultanti dagli elaborati medesimi assevera la conformità del progetto agli strumenti urbanistici approvati ed adottati, ai regolamenti edilizi vigenti, e alle altre normative di settore aventi incidenza sulla disciplina dell'attività' edilizia e, in particolare, alle norme antisismiche, di sicurezza, antincendio, igienico-sanitarie nel caso in cui la verifica in ordine a tale conformità non comporti valutazioni tecnico-discrezionali, alle norme relative all'efficienza energetica. </w:t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sz w:val="24"/>
          <w:szCs w:val="24"/>
        </w:rPr>
        <w:sectPr w:rsidR="008853D7">
          <w:type w:val="continuous"/>
          <w:pgSz w:w="11900" w:h="16820" w:code="9"/>
          <w:pgMar w:top="57" w:right="851" w:bottom="113" w:left="851" w:header="567" w:footer="567" w:gutter="0"/>
          <w:cols w:space="60"/>
          <w:noEndnote/>
          <w:docGrid w:linePitch="245"/>
        </w:sect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hd w:val="clear" w:color="auto" w:fill="D9D9D9"/>
              <w:spacing w:before="0" w:after="100" w:afterAutospacing="1" w:line="240" w:lineRule="auto"/>
              <w:ind w:firstLine="34"/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lastRenderedPageBreak/>
              <w:t>Quadro D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Dichiarazioni nel solo caso di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denuncia (D.I.A.)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o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segnalazione (S.C.I.A.): 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Il sottoscritto progettista assevera la conformità delle opere da realizzare agli strumenti di pianificazione vigenti ed adottati ed ai regolamenti edilizi vigenti, nonché il rispetto delle norme di sicurezza e di quelle igienico-sanitarie.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Nel caso di segnalazione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>(S.C.I.A.)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  <w:u w:val="single"/>
              </w:rPr>
              <w:t xml:space="preserve"> i lavori potranno iniziare contestualmente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alla presentazione. Nel caso di denuncia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 xml:space="preserve">(D.I.A.)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  <w:u w:val="single"/>
              </w:rPr>
              <w:t>i lavori inizieranno non prima di 30 giorni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dalla presentazione. 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Per i lavori in oggetto, ove l’immobile sia sottoposto a vincoli,  è già stato ottenuto il provvedimento inerente il vincolo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in data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n.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che si allega. Diversamente i lavori inizieranno non prima dell’efficacia del relativo atto di assenso. Ove tale atto non sia favorevole la presente denuncia/segnalazione si intenderà priva di effetti;</w:t>
            </w:r>
          </w:p>
          <w:bookmarkStart w:id="22" w:name="Controllo19"/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fldChar w:fldCharType="end"/>
            </w:r>
            <w:bookmarkEnd w:id="22"/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La direzione lavori è stata assunta dal </w:t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progettista;  </w:t>
            </w:r>
            <w:bookmarkStart w:id="23" w:name="Controllo20"/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fldChar w:fldCharType="end"/>
            </w:r>
            <w:bookmarkEnd w:id="23"/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La direzione lavori è stata assunta da: </w:t>
            </w:r>
          </w:p>
          <w:p w:rsidR="008853D7" w:rsidRPr="00B904B6" w:rsidRDefault="001E7A78" w:rsidP="001E7A78">
            <w:pPr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</w:t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con sede in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via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</w:t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n.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tel.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fax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mail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iscritto al n.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dell'ordine/collegio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="008853D7"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della provincia di 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>.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La esecuzione delle opere è stata affidata all’impresa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con sede a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via/loc.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di cui si allega dichiarazione dell’organico medio annuo, distinto per qualifica, e il contratto collettivo applicato ai lavori dipendenti e il certificato di regolarità contributiva (INPS, INAIL, CAPE).</w:t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hd w:val="clear" w:color="auto" w:fill="D9D9D9"/>
              <w:spacing w:before="0" w:line="240" w:lineRule="auto"/>
              <w:ind w:firstLine="34"/>
              <w:rPr>
                <w:rFonts w:ascii="Garamond" w:eastAsiaTheme="minorEastAsia" w:hAnsi="Garamond" w:cs="Garamond"/>
                <w:i/>
                <w:iCs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Quadro E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Dichiarazioni nel solo caso di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comunicazione per opere di manutenzione straordinaria 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– art. 6 comma 2 lett. a) D.P.R. 380/2001.  </w:t>
            </w:r>
          </w:p>
          <w:p w:rsidR="008853D7" w:rsidRPr="00B904B6" w:rsidRDefault="008853D7">
            <w:pPr>
              <w:pStyle w:val="NormaleWeb"/>
              <w:spacing w:before="0" w:beforeAutospacing="0" w:after="0" w:afterAutospacing="0"/>
              <w:jc w:val="both"/>
              <w:rPr>
                <w:rFonts w:ascii="Garamond" w:eastAsiaTheme="minorEastAsia" w:hAnsi="Garamond" w:cs="Garamond"/>
                <w:color w:val="000000"/>
                <w:sz w:val="22"/>
                <w:szCs w:val="22"/>
                <w:shd w:val="clear" w:color="auto" w:fill="F4FFFD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Il sottoscritto progettista </w:t>
            </w: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t>dichiara preliminarmente di non avere rapporti di dipendenza con l’impresa né con il committente e assevera, sotto la propria responsabilità, che i lavori sono conformi agli strumenti urbanistici approvati e ai regolamenti edilizi vigenti e che per essi la normativa statale e regionale non prevede il rilascio di un titolo abilitativo.</w:t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b/>
                <w:bCs/>
                <w:i/>
                <w:iCs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>Quadro F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 – Dichiarazione nel solo caso di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4"/>
                <w:szCs w:val="24"/>
              </w:rPr>
              <w:t xml:space="preserve"> domanda o dichiarazione di agibilità </w:t>
            </w:r>
          </w:p>
          <w:p w:rsidR="008853D7" w:rsidRPr="00B904B6" w:rsidRDefault="008853D7">
            <w:pPr>
              <w:pStyle w:val="Default"/>
              <w:widowControl w:val="0"/>
              <w:jc w:val="both"/>
              <w:rPr>
                <w:rFonts w:ascii="Garamond" w:eastAsiaTheme="minorEastAsia" w:hAnsi="Garamond" w:cs="Garamond"/>
                <w:sz w:val="20"/>
                <w:szCs w:val="20"/>
              </w:rPr>
            </w:pPr>
            <w:r w:rsidRPr="00B904B6">
              <w:rPr>
                <w:rFonts w:ascii="Garamond" w:eastAsiaTheme="minorEastAsia" w:hAnsi="Garamond" w:cs="Garamond"/>
                <w:sz w:val="20"/>
                <w:szCs w:val="20"/>
                <w:u w:val="single"/>
              </w:rPr>
              <w:t>Il sottoscritto richiedente o dichiarante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i/>
                <w:iCs/>
                <w:sz w:val="20"/>
                <w:szCs w:val="20"/>
              </w:rPr>
              <w:t>(l’agibilità)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,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  <w:u w:val="single"/>
              </w:rPr>
              <w:t>nel caso di destinazione residenziale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, dichiara la conformità dell’opera realizzata rispetto al progetto approvato, nonché la avvenuta prosciugatura dei muri e della salubrità degli ambienti; 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  <w:u w:val="single"/>
              </w:rPr>
              <w:t>nel caso di attività economica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 attesta la conformità o la regolarità degli interventi o delle attività e che sussistono le condizioni di sicurezza, igiene, salubrità, risparmio energetico degli edifici e degli impianti di cui alla normativa vigente, così come attestato dal direttore dei lavori.</w:t>
            </w:r>
          </w:p>
          <w:p w:rsidR="008853D7" w:rsidRPr="00B904B6" w:rsidRDefault="008853D7">
            <w:pPr>
              <w:pStyle w:val="Default"/>
              <w:widowControl w:val="0"/>
              <w:jc w:val="both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0"/>
                <w:szCs w:val="20"/>
                <w:u w:val="single"/>
              </w:rPr>
              <w:t>Il sottoscritto direttore lavori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>, esperiti i necessari accertamenti in relazione alle condizioni di sicurezza, igiene, salubrità, risparmio energetico degli edifici e degli impianti in essi installati e proceduto a sopralluogo e verifica, dichiara che gli interventi realizzati sono conformi alle previsioni degli strumenti urbanistici approvati e adottati e al Regolamento Edilizio vigente nonché alla normativa vigente in materia di abbattimento delle barriere architettoniche che per l’immobile in oggetto sussistono le condizioni di sicurezza, igiene, salubrità, risparmio energetico degli edifici e degli impianti in essi installati, valutate secondo quanto disposto dalla normativa esistente.</w:t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widowControl/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i/>
                <w:iCs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  <w:t>Quadro G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- Riferimenti di pratiche precedenti </w:t>
            </w:r>
            <w:r w:rsidRPr="00B904B6">
              <w:rPr>
                <w:rFonts w:ascii="Garamond" w:eastAsiaTheme="minorEastAsia" w:hAnsi="Garamond" w:cs="Garamond"/>
                <w:i/>
                <w:iCs/>
                <w:color w:val="000000"/>
                <w:sz w:val="24"/>
                <w:szCs w:val="24"/>
              </w:rPr>
              <w:t xml:space="preserve">(licenze, autorizzazioni, concessioni, permessi, condoni, pareri) </w:t>
            </w:r>
          </w:p>
          <w:p w:rsidR="008853D7" w:rsidRPr="00B904B6" w:rsidRDefault="001E7A78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widowControl/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  <w:t>Quadro H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– Elenco allegati:</w:t>
            </w:r>
          </w:p>
          <w:p w:rsidR="008853D7" w:rsidRPr="00B904B6" w:rsidRDefault="001E7A78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widowControl/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  <w:t>Quadro I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>– Note:</w:t>
            </w:r>
          </w:p>
          <w:p w:rsidR="008853D7" w:rsidRPr="00B904B6" w:rsidRDefault="001E7A78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color w:val="000000"/>
          <w:sz w:val="24"/>
          <w:szCs w:val="24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00"/>
        <w:gridCol w:w="5310"/>
      </w:tblGrid>
      <w:tr w:rsidR="008853D7" w:rsidRPr="00B904B6">
        <w:tblPrEx>
          <w:tblCellMar>
            <w:top w:w="0" w:type="dxa"/>
            <w:bottom w:w="0" w:type="dxa"/>
          </w:tblCellMar>
        </w:tblPrEx>
        <w:tc>
          <w:tcPr>
            <w:tcW w:w="5200" w:type="dxa"/>
          </w:tcPr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data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10" w:type="dxa"/>
          </w:tcPr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i/>
                <w:iCs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Il progettista </w:t>
            </w:r>
            <w:r w:rsidRPr="00B904B6">
              <w:rPr>
                <w:rFonts w:ascii="Garamond" w:eastAsiaTheme="minorEastAsia" w:hAnsi="Garamond" w:cs="Garamond"/>
                <w:i/>
                <w:iCs/>
                <w:color w:val="000000"/>
                <w:sz w:val="24"/>
                <w:szCs w:val="24"/>
              </w:rPr>
              <w:t>(timbro e firma)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i/>
                <w:iCs/>
                <w:color w:val="000000"/>
                <w:sz w:val="24"/>
                <w:szCs w:val="24"/>
              </w:rPr>
            </w:pP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</w:p>
        </w:tc>
      </w:tr>
      <w:tr w:rsidR="008853D7" w:rsidRPr="00B904B6">
        <w:tblPrEx>
          <w:tblCellMar>
            <w:top w:w="0" w:type="dxa"/>
            <w:bottom w:w="0" w:type="dxa"/>
          </w:tblCellMar>
        </w:tblPrEx>
        <w:tc>
          <w:tcPr>
            <w:tcW w:w="5200" w:type="dxa"/>
          </w:tcPr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t>Il/I committente/i - richiedente/i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</w:pP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</w:pP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5310" w:type="dxa"/>
          </w:tcPr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i/>
                <w:iCs/>
                <w:color w:val="000000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  <w:t xml:space="preserve">Il direttore dei lavori </w:t>
            </w:r>
            <w:r w:rsidRPr="00B904B6">
              <w:rPr>
                <w:rFonts w:ascii="Garamond" w:eastAsiaTheme="minorEastAsia" w:hAnsi="Garamond" w:cs="Garamond"/>
                <w:i/>
                <w:iCs/>
                <w:color w:val="000000"/>
                <w:sz w:val="22"/>
                <w:szCs w:val="22"/>
              </w:rPr>
              <w:t xml:space="preserve">(timbro e firma) 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2"/>
                <w:szCs w:val="22"/>
              </w:rPr>
            </w:pP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color w:val="000000"/>
          <w:sz w:val="22"/>
          <w:szCs w:val="22"/>
        </w:rPr>
        <w:sectPr w:rsidR="008853D7">
          <w:headerReference w:type="default" r:id="rId7"/>
          <w:footerReference w:type="default" r:id="rId8"/>
          <w:pgSz w:w="11900" w:h="16820" w:code="9"/>
          <w:pgMar w:top="176" w:right="851" w:bottom="652" w:left="851" w:header="567" w:footer="567" w:gutter="0"/>
          <w:cols w:space="60"/>
          <w:noEndnote/>
          <w:docGrid w:linePitch="245"/>
        </w:sectPr>
      </w:pPr>
    </w:p>
    <w:p w:rsidR="008853D7" w:rsidRDefault="008853D7">
      <w:pPr>
        <w:widowControl/>
        <w:spacing w:before="0" w:line="240" w:lineRule="auto"/>
        <w:rPr>
          <w:rFonts w:ascii="Garamond" w:hAnsi="Garamond" w:cs="Garamond"/>
          <w:color w:val="000000"/>
          <w:sz w:val="22"/>
          <w:szCs w:val="22"/>
        </w:rPr>
      </w:pPr>
    </w:p>
    <w:p w:rsidR="008853D7" w:rsidRDefault="008853D7">
      <w:pPr>
        <w:widowControl/>
        <w:spacing w:before="0" w:line="240" w:lineRule="auto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16"/>
          <w:szCs w:val="16"/>
        </w:rPr>
        <w:tab/>
      </w:r>
      <w:r>
        <w:rPr>
          <w:rFonts w:ascii="Garamond" w:hAnsi="Garamond" w:cs="Garamond"/>
          <w:color w:val="000000"/>
          <w:sz w:val="16"/>
          <w:szCs w:val="16"/>
        </w:rPr>
        <w:tab/>
      </w:r>
      <w:r>
        <w:rPr>
          <w:rFonts w:ascii="Garamond" w:hAnsi="Garamond" w:cs="Garamond"/>
          <w:color w:val="000000"/>
          <w:sz w:val="22"/>
          <w:szCs w:val="22"/>
        </w:rPr>
        <w:tab/>
      </w:r>
      <w:r>
        <w:rPr>
          <w:rFonts w:ascii="Garamond" w:hAnsi="Garamond" w:cs="Garamond"/>
          <w:color w:val="000000"/>
          <w:sz w:val="22"/>
          <w:szCs w:val="22"/>
        </w:rPr>
        <w:tab/>
      </w:r>
      <w:r>
        <w:rPr>
          <w:rFonts w:ascii="Garamond" w:hAnsi="Garamond" w:cs="Garamond"/>
          <w:color w:val="000000"/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widowControl/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  <w:t>Quadro L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– Riservato all’Ufficio: in caso di </w:t>
            </w:r>
            <w:r w:rsidRPr="00B904B6"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  <w:t>Denuncia (D.I.A.)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Ai sensi dell’articolo 42 comma 10 della L.R. 12/05, in assenza dell’ordine motivato di non effettuare l’intervento, si attesta la chiusura del procedimento. </w:t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16"/>
                <w:szCs w:val="16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data: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firma </w:t>
            </w:r>
            <w:r w:rsidRPr="00B904B6">
              <w:rPr>
                <w:rFonts w:ascii="Garamond" w:eastAsiaTheme="minorEastAsia" w:hAnsi="Garamond" w:cs="Garamond"/>
                <w:color w:val="000000"/>
                <w:sz w:val="16"/>
                <w:szCs w:val="16"/>
              </w:rPr>
              <w:t>_____________________________________________</w:t>
            </w:r>
          </w:p>
        </w:tc>
      </w:tr>
    </w:tbl>
    <w:p w:rsidR="008853D7" w:rsidRDefault="008853D7">
      <w:pPr>
        <w:widowControl/>
        <w:spacing w:before="0" w:line="240" w:lineRule="auto"/>
        <w:rPr>
          <w:rFonts w:ascii="Garamond" w:hAnsi="Garamond" w:cs="Garamond"/>
          <w:color w:val="000000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widowControl/>
              <w:shd w:val="clear" w:color="auto" w:fill="D9D9D9"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  <w:t>Quadro M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– Riservato all’Ufficio: in caso di </w:t>
            </w:r>
            <w:r w:rsidRPr="00B904B6">
              <w:rPr>
                <w:rFonts w:ascii="Garamond" w:eastAsiaTheme="minorEastAsia" w:hAnsi="Garamond" w:cs="Garamond"/>
                <w:b/>
                <w:bCs/>
                <w:color w:val="000000"/>
                <w:sz w:val="24"/>
                <w:szCs w:val="24"/>
              </w:rPr>
              <w:t>domanda di permesso di costruire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: </w:t>
            </w:r>
          </w:p>
          <w:bookmarkStart w:id="24" w:name="Controllo21"/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end"/>
            </w:r>
            <w:bookmarkEnd w:id="24"/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>Valutata la conformità del progetto alla normativa vigente, si propone il rilascio del permesso</w:t>
            </w:r>
            <w:r w:rsidRPr="00B904B6">
              <w:rPr>
                <w:rFonts w:ascii="Garamond" w:eastAsiaTheme="minorEastAsia" w:hAnsi="Garamond" w:cs="Garamond"/>
                <w:sz w:val="20"/>
                <w:szCs w:val="20"/>
              </w:rPr>
              <w:t xml:space="preserve">. </w:t>
            </w:r>
          </w:p>
          <w:bookmarkStart w:id="25" w:name="Controllo22"/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instrText xml:space="preserve"> FORMCHECKBOX </w:instrTex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fldChar w:fldCharType="end"/>
            </w:r>
            <w:bookmarkEnd w:id="25"/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sz w:val="24"/>
                <w:szCs w:val="24"/>
              </w:rPr>
              <w:t xml:space="preserve">Si propone il diniego del permesso per le seguenti motivazioni: </w:t>
            </w:r>
          </w:p>
          <w:p w:rsidR="008853D7" w:rsidRPr="00B904B6" w:rsidRDefault="001E7A78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</w:p>
          <w:p w:rsidR="008853D7" w:rsidRPr="00B904B6" w:rsidRDefault="008853D7">
            <w:pPr>
              <w:widowControl/>
              <w:spacing w:before="0" w:line="240" w:lineRule="auto"/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</w:pP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data: 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instrText xml:space="preserve"> FORMTEXT </w:instrTex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separate"/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noProof/>
                <w:sz w:val="24"/>
                <w:szCs w:val="24"/>
              </w:rPr>
              <w:t> </w:t>
            </w:r>
            <w:r w:rsidR="001E7A78" w:rsidRPr="00B904B6">
              <w:rPr>
                <w:rFonts w:ascii="Garamond" w:eastAsiaTheme="minorEastAsia" w:hAnsi="Garamond" w:cs="Garamond"/>
                <w:b/>
                <w:sz w:val="24"/>
                <w:szCs w:val="24"/>
              </w:rPr>
              <w:fldChar w:fldCharType="end"/>
            </w:r>
            <w:r w:rsidRPr="00B904B6">
              <w:rPr>
                <w:rFonts w:ascii="Garamond" w:eastAsiaTheme="minorEastAsia" w:hAnsi="Garamond" w:cs="Garamond"/>
                <w:color w:val="000000"/>
                <w:sz w:val="16"/>
                <w:szCs w:val="16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1E7A78"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                           </w:t>
            </w:r>
            <w:r w:rsidRPr="00B904B6">
              <w:rPr>
                <w:rFonts w:ascii="Garamond" w:eastAsiaTheme="minorEastAsia" w:hAnsi="Garamond" w:cs="Garamond"/>
                <w:color w:val="000000"/>
                <w:sz w:val="24"/>
                <w:szCs w:val="24"/>
              </w:rPr>
              <w:t xml:space="preserve">firma </w:t>
            </w:r>
            <w:r w:rsidRPr="00B904B6">
              <w:rPr>
                <w:rFonts w:ascii="Garamond" w:eastAsiaTheme="minorEastAsia" w:hAnsi="Garamond" w:cs="Garamond"/>
                <w:color w:val="000000"/>
                <w:sz w:val="16"/>
                <w:szCs w:val="16"/>
              </w:rPr>
              <w:t>____________________________________________</w:t>
            </w:r>
          </w:p>
        </w:tc>
      </w:tr>
    </w:tbl>
    <w:p w:rsidR="008853D7" w:rsidRDefault="008853D7">
      <w:pPr>
        <w:widowControl/>
        <w:spacing w:before="0" w:line="240" w:lineRule="auto"/>
        <w:jc w:val="center"/>
        <w:rPr>
          <w:rFonts w:ascii="Garamond" w:hAnsi="Garamond" w:cs="Garamond"/>
          <w:b/>
          <w:bCs/>
          <w:sz w:val="36"/>
          <w:szCs w:val="36"/>
        </w:rPr>
      </w:pPr>
    </w:p>
    <w:p w:rsidR="008853D7" w:rsidRDefault="008853D7">
      <w:pPr>
        <w:widowControl/>
        <w:shd w:val="clear" w:color="auto" w:fill="D9D9D9"/>
        <w:spacing w:before="0" w:line="240" w:lineRule="auto"/>
        <w:ind w:hanging="142"/>
        <w:jc w:val="center"/>
        <w:rPr>
          <w:rFonts w:ascii="Garamond" w:hAnsi="Garamond" w:cs="Garamond"/>
          <w:b/>
          <w:bCs/>
          <w:i/>
          <w:i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 xml:space="preserve">Note per la compilazione del modello </w:t>
      </w:r>
      <w:r>
        <w:rPr>
          <w:rFonts w:ascii="Garamond" w:hAnsi="Garamond" w:cs="Garamond"/>
          <w:b/>
          <w:bCs/>
          <w:i/>
          <w:iCs/>
          <w:sz w:val="36"/>
          <w:szCs w:val="36"/>
        </w:rPr>
        <w:t>SEMPLIFICATO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widowControl/>
              <w:numPr>
                <w:ilvl w:val="0"/>
                <w:numId w:val="9"/>
              </w:numPr>
              <w:spacing w:before="0" w:line="240" w:lineRule="auto"/>
              <w:ind w:left="602" w:hanging="426"/>
              <w:jc w:val="left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Il bollo non è dovuto in caso di D.I.A. – S.C.I.A. – comunicazione. </w:t>
            </w:r>
          </w:p>
          <w:p w:rsidR="008853D7" w:rsidRPr="00B904B6" w:rsidRDefault="008853D7">
            <w:pPr>
              <w:widowControl/>
              <w:numPr>
                <w:ilvl w:val="0"/>
                <w:numId w:val="9"/>
              </w:numPr>
              <w:spacing w:before="0" w:line="240" w:lineRule="auto"/>
              <w:ind w:left="602" w:hanging="426"/>
              <w:jc w:val="left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Indicare il titolo, diverso dalla proprietà; per esempio usufruttuario, amministratore condominiale ecc.. In caso di altri soggetti oltre ai due indicati nel quadro A, allegare elenco degli stessi con i relativi dati. </w:t>
            </w:r>
          </w:p>
          <w:p w:rsidR="008853D7" w:rsidRPr="00B904B6" w:rsidRDefault="008853D7">
            <w:pPr>
              <w:widowControl/>
              <w:numPr>
                <w:ilvl w:val="0"/>
                <w:numId w:val="9"/>
              </w:numPr>
              <w:spacing w:before="0" w:line="240" w:lineRule="auto"/>
              <w:ind w:left="602" w:hanging="426"/>
              <w:jc w:val="left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Per le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  <w:u w:val="single"/>
              </w:rPr>
              <w:t>destinazioni residenziali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è necessario richiedere l’agibilità ai sensi dell’art. 24 del D.P.R. 380/2001. Per le altre destinazioni, ovvero le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  <w:u w:val="single"/>
              </w:rPr>
              <w:t>attività economiche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,  in Lombardia l’agibilità è sostituita dalla dichiarazione di conformità ai fini dell’agibilità ai sensi dell’art. 5 della L.R. 1/2007. </w:t>
            </w:r>
          </w:p>
          <w:p w:rsidR="008853D7" w:rsidRPr="00B904B6" w:rsidRDefault="008853D7">
            <w:pPr>
              <w:widowControl/>
              <w:numPr>
                <w:ilvl w:val="0"/>
                <w:numId w:val="9"/>
              </w:numPr>
              <w:spacing w:before="0" w:line="240" w:lineRule="auto"/>
              <w:ind w:left="602" w:hanging="426"/>
              <w:jc w:val="left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Allegare possibilmente la mappa con evidenziati gli immobili. Non necessita compilare altro. </w:t>
            </w:r>
          </w:p>
          <w:p w:rsidR="008853D7" w:rsidRPr="00B904B6" w:rsidRDefault="008853D7">
            <w:pPr>
              <w:widowControl/>
              <w:numPr>
                <w:ilvl w:val="0"/>
                <w:numId w:val="9"/>
              </w:numPr>
              <w:spacing w:before="0" w:line="240" w:lineRule="auto"/>
              <w:ind w:left="602" w:hanging="426"/>
              <w:jc w:val="left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Utilizzare possibilmente le definizioni di cui all’art. 27 della L.R. 12/2005 ovvero: manutenzione ordinaria, manutenzione straordinaria, restauro e risanamento conservativo, ristrutturazione edilizia, nuova costruzione, ampliamento, sopralzo. </w:t>
            </w:r>
          </w:p>
          <w:p w:rsidR="008853D7" w:rsidRPr="00B904B6" w:rsidRDefault="008853D7">
            <w:pPr>
              <w:widowControl/>
              <w:numPr>
                <w:ilvl w:val="0"/>
                <w:numId w:val="9"/>
              </w:numPr>
              <w:spacing w:before="0" w:line="240" w:lineRule="auto"/>
              <w:ind w:left="602" w:hanging="426"/>
              <w:jc w:val="left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Residenziale / artigianale / industriale / commerciale / direzionale / alberghiera / agricola / altro </w:t>
            </w:r>
            <w:r w:rsidRPr="00B904B6">
              <w:rPr>
                <w:rFonts w:ascii="Garamond" w:eastAsiaTheme="minorEastAsia" w:hAnsi="Garamond" w:cs="Garamond"/>
                <w:i/>
                <w:iCs/>
                <w:sz w:val="22"/>
                <w:szCs w:val="22"/>
              </w:rPr>
              <w:t>(specificare)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4"/>
          <w:szCs w:val="24"/>
        </w:rPr>
      </w:pPr>
    </w:p>
    <w:p w:rsidR="008853D7" w:rsidRDefault="008853D7">
      <w:pPr>
        <w:shd w:val="clear" w:color="auto" w:fill="D9D9D9"/>
        <w:spacing w:before="0" w:line="240" w:lineRule="auto"/>
        <w:ind w:hanging="142"/>
        <w:jc w:val="center"/>
        <w:rPr>
          <w:rFonts w:ascii="Garamond" w:hAnsi="Garamond" w:cs="Garamond"/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sz w:val="36"/>
          <w:szCs w:val="36"/>
        </w:rPr>
        <w:t>Note di carattere generale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rPr>
          <w:trHeight w:val="118"/>
        </w:trPr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>l’attività edilizia è libera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 – art. 6 comma 1 D.P.R. 380/2001.</w:t>
            </w:r>
          </w:p>
          <w:p w:rsidR="008853D7" w:rsidRPr="00B904B6" w:rsidRDefault="008853D7">
            <w:pPr>
              <w:numPr>
                <w:ilvl w:val="0"/>
                <w:numId w:val="10"/>
              </w:num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gli interventi di manutenzione ordinaria;</w:t>
            </w:r>
          </w:p>
          <w:p w:rsidR="008853D7" w:rsidRPr="00B904B6" w:rsidRDefault="008853D7">
            <w:pPr>
              <w:numPr>
                <w:ilvl w:val="0"/>
                <w:numId w:val="10"/>
              </w:num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gli interventi volti all’eliminazione di barriere architettoniche che non comportino la realizzazione di rampe o di ascensori esterni, ovvero di manufatti che alterino la sagoma dell’edificio; </w:t>
            </w:r>
          </w:p>
          <w:p w:rsidR="008853D7" w:rsidRPr="00B904B6" w:rsidRDefault="008853D7">
            <w:pPr>
              <w:numPr>
                <w:ilvl w:val="0"/>
                <w:numId w:val="10"/>
              </w:num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le opere temporanee per attività di ricerca nel sottosuolo che abbiano carattere geognostico, ad esclusione di attività di ricerca di idrocarburi, e che siano eseguite in aree esterne al centro edificato;</w:t>
            </w:r>
          </w:p>
          <w:p w:rsidR="008853D7" w:rsidRPr="00B904B6" w:rsidRDefault="008853D7">
            <w:pPr>
              <w:numPr>
                <w:ilvl w:val="0"/>
                <w:numId w:val="10"/>
              </w:num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i movimenti di terra strettamente pertinenti all’esercizio dell’attività agricola e le pratiche agro-silvo-pastorali, compresi gli interventi su impianti idraulici agrari;</w:t>
            </w:r>
          </w:p>
          <w:p w:rsidR="008853D7" w:rsidRPr="00B904B6" w:rsidRDefault="008853D7">
            <w:pPr>
              <w:numPr>
                <w:ilvl w:val="0"/>
                <w:numId w:val="10"/>
              </w:num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le serre mobili stagionali, sprovviste di strutture in muratura, funzionali allo svolgimento dell’attività agricola.</w:t>
            </w:r>
          </w:p>
          <w:p w:rsidR="008853D7" w:rsidRPr="00B904B6" w:rsidRDefault="008853D7">
            <w:pPr>
              <w:numPr>
                <w:ilvl w:val="0"/>
                <w:numId w:val="10"/>
              </w:num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l'installazione di depositi di gas di petrolio liquefatti di capacità complessiva non superiore a 13 m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  <w:vertAlign w:val="superscript"/>
              </w:rPr>
              <w:t>3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(art. 17 D.L.vo 128/2006).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rPr>
          <w:trHeight w:val="118"/>
        </w:trPr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è previsto il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>permesso di costruire.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>Tutti gli interventi edilizi, nonché per i mutamenti di destinazione d’uso di cui all’art. 52, co. 3 bis, della L.R. n. 12/2005.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rPr>
          <w:trHeight w:val="118"/>
        </w:trPr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 è prevista la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>segnalazione certificata di inizio attività SCIA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 –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art. 19 L. 241/1990 e art. 5 L. 106/2011.</w:t>
            </w:r>
          </w:p>
          <w:p w:rsidR="008853D7" w:rsidRPr="00B904B6" w:rsidRDefault="008853D7">
            <w:pPr>
              <w:spacing w:before="0" w:line="240" w:lineRule="auto"/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</w:pPr>
            <w:r w:rsidRPr="00B904B6">
              <w:rPr>
                <w:rStyle w:val="StrongEmphasis"/>
                <w:rFonts w:ascii="Garamond" w:eastAsiaTheme="minorEastAsia" w:hAnsi="Garamond" w:cs="Garamond"/>
                <w:b w:val="0"/>
                <w:bCs w:val="0"/>
                <w:sz w:val="22"/>
                <w:szCs w:val="22"/>
                <w:u w:val="single"/>
              </w:rPr>
              <w:t>Interventi assoggettati a SCIA in via principale.</w:t>
            </w:r>
          </w:p>
          <w:p w:rsidR="008853D7" w:rsidRPr="00B904B6" w:rsidRDefault="008853D7">
            <w:pPr>
              <w:spacing w:before="0" w:line="240" w:lineRule="auto"/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</w:pPr>
            <w:r w:rsidRPr="00B904B6"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>Tutti gli interventi non previsti dagli artt. 6 e 10 (per quanto, quest’ultimo, disapplicato in Regione Lombardia) del D.P.R. n. 380/2001, più precisamente:</w:t>
            </w:r>
          </w:p>
          <w:p w:rsidR="008853D7" w:rsidRPr="00B904B6" w:rsidRDefault="008853D7">
            <w:pPr>
              <w:numPr>
                <w:ilvl w:val="0"/>
                <w:numId w:val="11"/>
              </w:numPr>
              <w:spacing w:before="0" w:line="240" w:lineRule="auto"/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</w:pPr>
            <w:r w:rsidRPr="00B904B6"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>interventi di manutenzione straordinaria non liberalizzati, ovvero eccedenti rispetto alla previsione di cui all’art. 6, comma 2, lett. a), del D.P.R. n. 380/2001,</w:t>
            </w:r>
          </w:p>
          <w:p w:rsidR="008853D7" w:rsidRPr="00B904B6" w:rsidRDefault="008853D7">
            <w:pPr>
              <w:numPr>
                <w:ilvl w:val="0"/>
                <w:numId w:val="11"/>
              </w:numPr>
              <w:spacing w:before="0" w:line="240" w:lineRule="auto"/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</w:pPr>
            <w:r w:rsidRPr="00B904B6"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 xml:space="preserve">interventi di restauro e di risanamento conservativo, </w:t>
            </w:r>
          </w:p>
          <w:p w:rsidR="008853D7" w:rsidRPr="00B904B6" w:rsidRDefault="008853D7">
            <w:pPr>
              <w:numPr>
                <w:ilvl w:val="0"/>
                <w:numId w:val="11"/>
              </w:numPr>
              <w:spacing w:before="0" w:line="240" w:lineRule="auto"/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</w:pPr>
            <w:r w:rsidRPr="00B904B6"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>interventi di ristrutturazione edilizia “leggera”, ovvero non rientranti nella fattispecie di cui all’art. 10, comma 1, lett. c), del D.P.R. n. 380/2001;</w:t>
            </w:r>
          </w:p>
          <w:p w:rsidR="008853D7" w:rsidRPr="00B904B6" w:rsidRDefault="008853D7">
            <w:pPr>
              <w:autoSpaceDE/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Style w:val="StrongEmphasis"/>
                <w:rFonts w:ascii="Garamond" w:eastAsiaTheme="minorEastAsia" w:hAnsi="Garamond" w:cs="Garamond"/>
                <w:b w:val="0"/>
                <w:bCs w:val="0"/>
                <w:sz w:val="22"/>
                <w:szCs w:val="22"/>
                <w:u w:val="single"/>
              </w:rPr>
              <w:t xml:space="preserve">Interventi assoggettati  a SCIA in alternativa al permesso di costruire. </w:t>
            </w:r>
          </w:p>
          <w:p w:rsidR="008853D7" w:rsidRPr="00B904B6" w:rsidRDefault="008853D7">
            <w:pPr>
              <w:numPr>
                <w:ilvl w:val="0"/>
                <w:numId w:val="16"/>
              </w:numPr>
              <w:autoSpaceDE/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Style w:val="StrongEmphasis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 xml:space="preserve">interventi di ristrutturazione  edilizia che portino ad un organismo edilizio in tutto o in parte diverso dal precedente e che comportino aumento di unità immobiliari, modifiche del volume, della sagoma, dei prospetti o delle superfici, ovvero </w:t>
            </w:r>
            <w:r w:rsidRPr="00B904B6">
              <w:rPr>
                <w:rStyle w:val="StrongEmphasis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lastRenderedPageBreak/>
              <w:t>che, limitatamente agli immobili compresi nelle zone omogenee A, comportino mutamenti della destinazione d’uso;</w:t>
            </w:r>
          </w:p>
          <w:p w:rsidR="008853D7" w:rsidRPr="00B904B6" w:rsidRDefault="008853D7">
            <w:pPr>
              <w:numPr>
                <w:ilvl w:val="0"/>
                <w:numId w:val="16"/>
              </w:numPr>
              <w:autoSpaceDE/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Style w:val="StrongEmphasis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>interventi di nuova costruzione o di ristrutturazione urbanistica qualora siano disciplinati da piani attuativi  che contengano precise disposizioni plano-volumetriche, tipologiche, formali e costruttive, la cui sussistenza sia stata esplicitamente dichiarata dal competente organo comunale in sede di approvazione degli stessi piani o di ricognizione di quelli vigenti;</w:t>
            </w:r>
          </w:p>
          <w:p w:rsidR="008853D7" w:rsidRPr="00B904B6" w:rsidRDefault="008853D7">
            <w:pPr>
              <w:numPr>
                <w:ilvl w:val="0"/>
                <w:numId w:val="16"/>
              </w:numPr>
              <w:autoSpaceDE/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Style w:val="StrongEmphasis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 xml:space="preserve">interventi di nuova costruzione qualora siano in diretta esecuzione di strumenti urbanistici generali recanti precise disposizioni plano-volumetriche; </w:t>
            </w:r>
          </w:p>
          <w:p w:rsidR="008853D7" w:rsidRPr="00B904B6" w:rsidRDefault="008853D7">
            <w:pPr>
              <w:numPr>
                <w:ilvl w:val="0"/>
                <w:numId w:val="16"/>
              </w:numPr>
              <w:autoSpaceDE/>
              <w:spacing w:before="0" w:line="240" w:lineRule="auto"/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</w:pPr>
            <w:r w:rsidRPr="00B904B6">
              <w:rPr>
                <w:rStyle w:val="StrongEmphasis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>varianti a permessi di costruire che non incidono sui parametri urbanistici e sulle volumetrie, che non modificano la destinazione d'uso e la categoria edilizia, non alterano la sagoma dell'edificio e non violano le eventuali prescrizioni contenute nel permesso di costruire (art. 22 comma 2 D.P.R. 380/2001).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è prevista la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>denuncia di inizio attività DIA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  –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art. 42 L.R. 12/2005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Al</w:t>
            </w:r>
            <w:r w:rsidRPr="00B904B6"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  <w:t>ternativa al permesso di costruire di cui sopra, fatta eccezione per gli interventi assoggettati in via principale a SCIA, nonché per i nuovi fabbricati in zona agricola e per i mutamenti di destinazione d’uso di cui all’art. 52, comma 3-bis, della L.R. n. 12/2005, assoggettati unicamente al permesso di costruire.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è prevista la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>comunicazione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 -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art 6 comma 2 lettere a-b-c-d-e  D.P.R. 380/2001</w:t>
            </w:r>
          </w:p>
          <w:p w:rsidR="008853D7" w:rsidRPr="00B904B6" w:rsidRDefault="008853D7">
            <w:pPr>
              <w:autoSpaceDE/>
              <w:spacing w:before="0" w:line="240" w:lineRule="auto"/>
              <w:jc w:val="left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a) gli interventi di manutenzione straordinaria, ivi compresa l’apertura di porte interne o lo spostamento di pareti interne, sempre che non riguardino le parti strutturali dell’edificio, non comportino aumento del numero delle unità immobiliari e non implichino incremento dei parametri urbanistici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b) le opere dirette a soddisfare obiettive esigenze contingenti e temporanee e ad essere immediatamente rimosse al cessare della necessità e, comunque, entro un termine non superiore a novanta giorni;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c) le opere di pavimentazione e di finitura di spazi esterni, anche per aree di sosta, che siano contenute entro l’indice di permeabilità, ove stabilito dallo strumento urbanistico comunale, ivi compresa la realizzazione di intercapedini interamente interrate e non accessibili, vasche di raccolta delle acque, locali tombati;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d) i pannelli solari, fotovoltaici, a servizio degli edifici, da realizzare al di fuori della zona A);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e) le aree ludiche senza fini di lucro e gli elementi di arredo delle aree pertinenziali degli edifici.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è prevista la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>comunicazione di eseguita attività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 –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art. 41 comma 2 L.R. 12/2005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Nel caso di interventi assentiti in forza di permesso di costruire o di denuncia di inizio attività, è data facoltà all’interessato di presentare comunicazione di eseguita attività sottoscritta da tecnico abilitato, per varianti che non incidano sugli indici urbanistici e sulle volumetrie, che non modifichino la destinazione d’uso e la categoria edilizia, non alterino la sagoma dell’edificio e non violino le eventuali prescrizioni contenute nel permesso di costruire.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è previsto il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  <w:u w:val="single"/>
              </w:rPr>
              <w:t xml:space="preserve">permesso di costruire in sanatoria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  <w:u w:val="single"/>
              </w:rPr>
              <w:t>(accertamento di compatibilità)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</w:t>
            </w: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 -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art. 36 D.P.R. 380/2001</w:t>
            </w:r>
          </w:p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Interventi conformi alla disciplina urbanistica ed edilizia vigente sia al momento della realizzazione dello stesso, sia al momento della presentazione della domanda.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è prevista l’autorizzazione paesaggistica semplificata –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D.P.R. 139/2010</w:t>
            </w:r>
          </w:p>
          <w:p w:rsidR="008853D7" w:rsidRPr="00B904B6" w:rsidRDefault="008853D7">
            <w:pPr>
              <w:spacing w:before="0" w:line="240" w:lineRule="auto"/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Sono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  <w:u w:val="single"/>
              </w:rPr>
              <w:t>39 tipi di intervento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elencati nell’allegato A al D.P.R. 139/2010. Alcuni di essi non sono applicabili in  determinate zone (per esempio zone A o ambiti soggetti a tutela ai sensi dell’art. 136 comma 1 lettere a-b-c- del Codice)</w:t>
            </w:r>
          </w:p>
        </w:tc>
      </w:tr>
    </w:tbl>
    <w:p w:rsidR="008853D7" w:rsidRDefault="008853D7">
      <w:pPr>
        <w:spacing w:before="0" w:line="240" w:lineRule="auto"/>
        <w:rPr>
          <w:rFonts w:ascii="Garamond" w:hAnsi="Garamond" w:cs="Garamond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2"/>
      </w:tblGrid>
      <w:tr w:rsidR="008853D7" w:rsidRPr="00B904B6">
        <w:tc>
          <w:tcPr>
            <w:tcW w:w="10632" w:type="dxa"/>
          </w:tcPr>
          <w:p w:rsidR="008853D7" w:rsidRPr="00B904B6" w:rsidRDefault="008853D7">
            <w:pPr>
              <w:spacing w:before="0" w:line="240" w:lineRule="auto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b/>
                <w:bCs/>
                <w:sz w:val="22"/>
                <w:szCs w:val="22"/>
              </w:rPr>
              <w:t xml:space="preserve">Casi in cui è previsto l’accertamento di compatibilità paesaggistica  - 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art. 167 comma 4 D.L.vo 42/04</w:t>
            </w:r>
          </w:p>
          <w:p w:rsidR="008853D7" w:rsidRPr="00B904B6" w:rsidRDefault="008853D7">
            <w:pPr>
              <w:numPr>
                <w:ilvl w:val="0"/>
                <w:numId w:val="18"/>
              </w:numPr>
              <w:spacing w:before="0" w:line="240" w:lineRule="auto"/>
              <w:ind w:left="460" w:hanging="426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per i lavori, realizzati in assenza o difformità dall'autorizzazione paesaggistica, che non abbiano determinato creazione di superfici utili o volumi ovvero aumento di quelli legittimamente realizzati;</w:t>
            </w:r>
          </w:p>
          <w:p w:rsidR="008853D7" w:rsidRPr="00B904B6" w:rsidRDefault="008853D7">
            <w:pPr>
              <w:numPr>
                <w:ilvl w:val="0"/>
                <w:numId w:val="18"/>
              </w:numPr>
              <w:spacing w:before="0" w:line="240" w:lineRule="auto"/>
              <w:ind w:left="460" w:hanging="426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per l'impiego di materiali in difformità dall'autorizzazione paesaggistica; </w:t>
            </w:r>
          </w:p>
          <w:p w:rsidR="008853D7" w:rsidRPr="00B904B6" w:rsidRDefault="008853D7">
            <w:pPr>
              <w:numPr>
                <w:ilvl w:val="0"/>
                <w:numId w:val="18"/>
              </w:numPr>
              <w:spacing w:before="0" w:line="240" w:lineRule="auto"/>
              <w:ind w:left="460" w:hanging="426"/>
              <w:rPr>
                <w:rFonts w:ascii="Garamond" w:eastAsiaTheme="minorEastAsia" w:hAnsi="Garamond" w:cs="Garamond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per i lavori comunque configurabili quali interventi di manutenzione ordinaria o straordinaria ai sensi dell'</w:t>
            </w:r>
            <w:hyperlink r:id="rId9" w:anchor="003" w:history="1">
              <w:r w:rsidRPr="00B904B6">
                <w:rPr>
                  <w:rStyle w:val="Collegamentoipertestuale"/>
                  <w:rFonts w:ascii="Garamond" w:eastAsiaTheme="minorEastAsia" w:hAnsi="Garamond" w:cs="Garamond"/>
                  <w:color w:val="auto"/>
                  <w:sz w:val="22"/>
                  <w:szCs w:val="22"/>
                </w:rPr>
                <w:t>articolo 3 del D.P.R. 6 giugno 2001, n. 380</w:t>
              </w:r>
            </w:hyperlink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>.</w:t>
            </w:r>
          </w:p>
          <w:p w:rsidR="008853D7" w:rsidRPr="00B904B6" w:rsidRDefault="008853D7">
            <w:pPr>
              <w:numPr>
                <w:ilvl w:val="0"/>
                <w:numId w:val="18"/>
              </w:numPr>
              <w:spacing w:before="0" w:line="240" w:lineRule="auto"/>
              <w:ind w:left="460" w:hanging="426"/>
              <w:rPr>
                <w:rStyle w:val="Enfasigrassetto"/>
                <w:rFonts w:ascii="Garamond" w:eastAsiaTheme="minorEastAsia" w:hAnsi="Garamond" w:cs="Garamond"/>
                <w:b w:val="0"/>
                <w:bCs w:val="0"/>
                <w:sz w:val="22"/>
                <w:szCs w:val="22"/>
              </w:rPr>
            </w:pP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Si intendono sanabili </w:t>
            </w:r>
            <w:r w:rsidRPr="00B904B6">
              <w:rPr>
                <w:rFonts w:ascii="Garamond" w:eastAsiaTheme="minorEastAsia" w:hAnsi="Garamond" w:cs="Garamond"/>
                <w:i/>
                <w:iCs/>
                <w:sz w:val="22"/>
                <w:szCs w:val="22"/>
              </w:rPr>
              <w:t>(in base alla circolare n. 33 del Ministero per i Beni e le Attività Culturali del 29/6/2009)</w:t>
            </w:r>
            <w:r w:rsidRPr="00B904B6">
              <w:rPr>
                <w:rFonts w:ascii="Garamond" w:eastAsiaTheme="minorEastAsia" w:hAnsi="Garamond" w:cs="Garamond"/>
                <w:sz w:val="22"/>
                <w:szCs w:val="22"/>
              </w:rPr>
              <w:t xml:space="preserve"> anche i portici collegati al fabbricato aperti su tre lati contenuti entro il 25% dell’area di sedime del fabbricato stesso. </w:t>
            </w:r>
          </w:p>
        </w:tc>
      </w:tr>
    </w:tbl>
    <w:p w:rsidR="008853D7" w:rsidRDefault="008853D7">
      <w:pPr>
        <w:spacing w:before="0" w:line="240" w:lineRule="auto"/>
        <w:jc w:val="right"/>
        <w:rPr>
          <w:rStyle w:val="Enfasigrassetto"/>
          <w:rFonts w:ascii="Garamond" w:hAnsi="Garamond" w:cs="Garamond"/>
          <w:b w:val="0"/>
          <w:bCs w:val="0"/>
          <w:sz w:val="22"/>
          <w:szCs w:val="22"/>
        </w:rPr>
      </w:pPr>
    </w:p>
    <w:p w:rsidR="008853D7" w:rsidRDefault="008853D7">
      <w:pPr>
        <w:spacing w:before="0" w:line="240" w:lineRule="auto"/>
        <w:jc w:val="right"/>
        <w:rPr>
          <w:rStyle w:val="Enfasigrassetto"/>
          <w:rFonts w:ascii="Garamond" w:hAnsi="Garamond" w:cs="Garamond"/>
          <w:b w:val="0"/>
          <w:bCs w:val="0"/>
          <w:sz w:val="22"/>
          <w:szCs w:val="22"/>
        </w:rPr>
      </w:pPr>
      <w:r>
        <w:rPr>
          <w:rStyle w:val="Enfasigrassetto"/>
          <w:rFonts w:ascii="Garamond" w:hAnsi="Garamond" w:cs="Garamond"/>
          <w:b w:val="0"/>
          <w:bCs w:val="0"/>
          <w:sz w:val="22"/>
          <w:szCs w:val="22"/>
        </w:rPr>
        <w:t xml:space="preserve">Modello Semplificato per l’Edilizia – </w:t>
      </w:r>
      <w:r>
        <w:rPr>
          <w:rStyle w:val="Enfasigrassetto"/>
          <w:rFonts w:ascii="Garamond" w:hAnsi="Garamond" w:cs="Garamond"/>
          <w:sz w:val="22"/>
          <w:szCs w:val="22"/>
        </w:rPr>
        <w:t>versione dicembre 2011</w:t>
      </w:r>
    </w:p>
    <w:sectPr w:rsidR="008853D7">
      <w:pgSz w:w="11900" w:h="16820" w:code="9"/>
      <w:pgMar w:top="57" w:right="851" w:bottom="113" w:left="851" w:header="567" w:footer="567" w:gutter="0"/>
      <w:cols w:space="60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B6" w:rsidRDefault="00B904B6">
      <w:pPr>
        <w:spacing w:before="0" w:line="240" w:lineRule="auto"/>
      </w:pPr>
      <w:r>
        <w:separator/>
      </w:r>
    </w:p>
  </w:endnote>
  <w:endnote w:type="continuationSeparator" w:id="0">
    <w:p w:rsidR="00B904B6" w:rsidRDefault="00B904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KIDAE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D7" w:rsidRDefault="008853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B6" w:rsidRDefault="00B904B6">
      <w:pPr>
        <w:spacing w:before="0" w:line="240" w:lineRule="auto"/>
      </w:pPr>
      <w:r>
        <w:separator/>
      </w:r>
    </w:p>
  </w:footnote>
  <w:footnote w:type="continuationSeparator" w:id="0">
    <w:p w:rsidR="00B904B6" w:rsidRDefault="00B904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D7" w:rsidRDefault="008853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RTF_Num 2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Times New Roman" w:hAnsi="Garamond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Courier New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Wingdings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Courier New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Wingdings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Courier New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Wingdings"/>
      </w:rPr>
    </w:lvl>
  </w:abstractNum>
  <w:abstractNum w:abstractNumId="1">
    <w:nsid w:val="08100F2F"/>
    <w:multiLevelType w:val="hybridMultilevel"/>
    <w:tmpl w:val="9CEA51A0"/>
    <w:lvl w:ilvl="0" w:tplc="4E3A9FD8">
      <w:start w:val="1"/>
      <w:numFmt w:val="bullet"/>
      <w:lvlText w:val="-"/>
      <w:lvlJc w:val="left"/>
      <w:pPr>
        <w:ind w:left="394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9F33CC7"/>
    <w:multiLevelType w:val="hybridMultilevel"/>
    <w:tmpl w:val="1A7C4D28"/>
    <w:lvl w:ilvl="0" w:tplc="89841E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6647"/>
    <w:multiLevelType w:val="hybridMultilevel"/>
    <w:tmpl w:val="DA6C119A"/>
    <w:lvl w:ilvl="0" w:tplc="B3F2E41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2777A83"/>
    <w:multiLevelType w:val="hybridMultilevel"/>
    <w:tmpl w:val="A732BA26"/>
    <w:lvl w:ilvl="0" w:tplc="60E6E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31A88"/>
    <w:multiLevelType w:val="hybridMultilevel"/>
    <w:tmpl w:val="8140FF3A"/>
    <w:lvl w:ilvl="0" w:tplc="10B2E29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F452646"/>
    <w:multiLevelType w:val="hybridMultilevel"/>
    <w:tmpl w:val="8BDE55DE"/>
    <w:lvl w:ilvl="0" w:tplc="286AE0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56D2EC4"/>
    <w:multiLevelType w:val="hybridMultilevel"/>
    <w:tmpl w:val="86F4E4FA"/>
    <w:lvl w:ilvl="0" w:tplc="89841E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A382B"/>
    <w:multiLevelType w:val="hybridMultilevel"/>
    <w:tmpl w:val="2592D9EE"/>
    <w:lvl w:ilvl="0" w:tplc="2A6A9726">
      <w:start w:val="1"/>
      <w:numFmt w:val="lowerLetter"/>
      <w:lvlText w:val="%1)"/>
      <w:lvlJc w:val="left"/>
      <w:pPr>
        <w:ind w:left="786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9">
    <w:nsid w:val="5A954CEE"/>
    <w:multiLevelType w:val="hybridMultilevel"/>
    <w:tmpl w:val="8BDE55DE"/>
    <w:lvl w:ilvl="0" w:tplc="286AE0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8BE134C"/>
    <w:multiLevelType w:val="hybridMultilevel"/>
    <w:tmpl w:val="86804ADE"/>
    <w:lvl w:ilvl="0" w:tplc="ECBED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694DBD"/>
    <w:multiLevelType w:val="hybridMultilevel"/>
    <w:tmpl w:val="64A81D8E"/>
    <w:lvl w:ilvl="0" w:tplc="89841E8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012FE"/>
    <w:multiLevelType w:val="hybridMultilevel"/>
    <w:tmpl w:val="7D882FE6"/>
    <w:lvl w:ilvl="0" w:tplc="0136CDE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E74BD"/>
    <w:multiLevelType w:val="hybridMultilevel"/>
    <w:tmpl w:val="8140FF3A"/>
    <w:lvl w:ilvl="0" w:tplc="10B2E29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1E1105E"/>
    <w:multiLevelType w:val="hybridMultilevel"/>
    <w:tmpl w:val="D834C678"/>
    <w:lvl w:ilvl="0" w:tplc="1FA0C8F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773A4753"/>
    <w:multiLevelType w:val="hybridMultilevel"/>
    <w:tmpl w:val="00029C9C"/>
    <w:lvl w:ilvl="0" w:tplc="FFFFFFFF">
      <w:start w:val="1"/>
      <w:numFmt w:val="bullet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sz w:val="22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7C5923A0"/>
    <w:multiLevelType w:val="hybridMultilevel"/>
    <w:tmpl w:val="ED8C9A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cumentProtection w:edit="forms" w:enforcement="0"/>
  <w:defaultTabStop w:val="720"/>
  <w:hyphenationZone w:val="283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49"/>
    <w:rsid w:val="001161E2"/>
    <w:rsid w:val="001A4659"/>
    <w:rsid w:val="001E5122"/>
    <w:rsid w:val="001E7A78"/>
    <w:rsid w:val="00251FD3"/>
    <w:rsid w:val="00397F69"/>
    <w:rsid w:val="005055AB"/>
    <w:rsid w:val="00853471"/>
    <w:rsid w:val="00864BDF"/>
    <w:rsid w:val="008853D7"/>
    <w:rsid w:val="008D0392"/>
    <w:rsid w:val="008D79EB"/>
    <w:rsid w:val="00B80662"/>
    <w:rsid w:val="00B80888"/>
    <w:rsid w:val="00B904B6"/>
    <w:rsid w:val="00B90BF7"/>
    <w:rsid w:val="00BB70CB"/>
    <w:rsid w:val="00D4110D"/>
    <w:rsid w:val="00D973C7"/>
    <w:rsid w:val="00EF4C49"/>
    <w:rsid w:val="00F4125A"/>
    <w:rsid w:val="00FA294D"/>
    <w:rsid w:val="00FA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before="180" w:line="320" w:lineRule="auto"/>
      <w:jc w:val="both"/>
    </w:pPr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none"/>
      <w:effect w:val="none"/>
    </w:rPr>
  </w:style>
  <w:style w:type="character" w:styleId="Enfasigrassetto">
    <w:name w:val="Strong"/>
    <w:basedOn w:val="Carpredefinitoparagrafo"/>
    <w:uiPriority w:val="99"/>
    <w:qFormat/>
    <w:rPr>
      <w:rFonts w:ascii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Arial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  <w:sz w:val="18"/>
      <w:szCs w:val="18"/>
    </w:rPr>
  </w:style>
  <w:style w:type="paragraph" w:styleId="NormaleWeb">
    <w:name w:val="Normal (Web)"/>
    <w:basedOn w:val="Normale"/>
    <w:uiPriority w:val="99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trongEmphasis">
    <w:name w:val="Strong Emphasis"/>
    <w:basedOn w:val="Carpredefinitoparagrafo"/>
    <w:uiPriority w:val="99"/>
    <w:rPr>
      <w:rFonts w:ascii="Times New Roman" w:hAnsi="Times New Roman" w:cs="Times New Roman"/>
      <w:b/>
      <w:bCs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  <w:lang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FKIDAE+BookAntiqua" w:hAnsi="FKIDAE+BookAntiqua" w:cs="FKIDAE+Book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com/info/norme/statali/2001_0380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2429</Words>
  <Characters>13851</Characters>
  <Application>Microsoft Office Word</Application>
  <DocSecurity>0</DocSecurity>
  <Lines>115</Lines>
  <Paragraphs>32</Paragraphs>
  <ScaleCrop>false</ScaleCrop>
  <Company>Sud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PER L'AUTORIZZAZIONE PAESAGGISTICA</dc:title>
  <dc:creator>votta</dc:creator>
  <cp:lastModifiedBy>Marcello Quecchia</cp:lastModifiedBy>
  <cp:revision>2</cp:revision>
  <cp:lastPrinted>2013-10-15T11:08:00Z</cp:lastPrinted>
  <dcterms:created xsi:type="dcterms:W3CDTF">2016-04-07T12:14:00Z</dcterms:created>
  <dcterms:modified xsi:type="dcterms:W3CDTF">2016-04-07T12:14:00Z</dcterms:modified>
</cp:coreProperties>
</file>